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eastAsia="黑体"/>
          <w:szCs w:val="32"/>
        </w:rPr>
      </w:pPr>
      <w:r>
        <w:rPr>
          <w:rFonts w:hint="eastAsia" w:ascii="黑体" w:eastAsia="黑体"/>
          <w:szCs w:val="32"/>
        </w:rPr>
        <w:t>附件1</w:t>
      </w:r>
    </w:p>
    <w:p>
      <w:pPr>
        <w:tabs>
          <w:tab w:val="left" w:pos="3828"/>
        </w:tabs>
        <w:adjustRightInd w:val="0"/>
        <w:snapToGrid w:val="0"/>
        <w:jc w:val="center"/>
        <w:rPr>
          <w:rFonts w:hint="eastAsia" w:ascii="仿宋_GB2312" w:hAnsi="仿宋_GB2312" w:eastAsia="方正小标宋简体" w:cs="仿宋_GB2312"/>
          <w:color w:val="000000"/>
          <w:kern w:val="0"/>
          <w:sz w:val="30"/>
          <w:szCs w:val="30"/>
          <w:lang w:bidi="ar"/>
        </w:rPr>
      </w:pPr>
      <w:r>
        <w:rPr>
          <w:rFonts w:hint="eastAsia" w:ascii="方正小标宋简体" w:hAnsi="宋体" w:eastAsia="方正小标宋简体" w:cs="宋体"/>
          <w:color w:val="000000"/>
          <w:kern w:val="0"/>
          <w:sz w:val="44"/>
          <w:szCs w:val="44"/>
        </w:rPr>
        <w:t>新乡医学院三全学院安全专项整治三年行动工作分工表</w:t>
      </w:r>
    </w:p>
    <w:tbl>
      <w:tblPr>
        <w:tblStyle w:val="3"/>
        <w:tblW w:w="14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297"/>
        <w:gridCol w:w="1729"/>
        <w:gridCol w:w="1066"/>
        <w:gridCol w:w="685"/>
        <w:gridCol w:w="925"/>
        <w:gridCol w:w="54"/>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85" w:type="dxa"/>
            <w:noWrap w:val="0"/>
            <w:vAlign w:val="center"/>
          </w:tcPr>
          <w:p>
            <w:pPr>
              <w:adjustRightInd w:val="0"/>
              <w:snapToGrid w:val="0"/>
              <w:jc w:val="center"/>
              <w:rPr>
                <w:rFonts w:hint="eastAsia" w:ascii="仿宋_GB2312" w:hAnsi="仿宋_GB2312" w:cs="仿宋_GB2312"/>
                <w:b/>
                <w:bCs/>
                <w:color w:val="000000"/>
                <w:kern w:val="0"/>
                <w:sz w:val="28"/>
                <w:szCs w:val="28"/>
                <w:lang w:bidi="ar"/>
              </w:rPr>
            </w:pPr>
            <w:r>
              <w:rPr>
                <w:rFonts w:hint="eastAsia" w:ascii="楷体" w:hAnsi="楷体" w:eastAsia="楷体" w:cs="楷体"/>
                <w:b/>
                <w:bCs/>
                <w:color w:val="000000"/>
                <w:kern w:val="0"/>
                <w:sz w:val="24"/>
                <w:lang w:bidi="ar"/>
              </w:rPr>
              <w:t>时间节点</w:t>
            </w:r>
          </w:p>
        </w:tc>
        <w:tc>
          <w:tcPr>
            <w:tcW w:w="2297" w:type="dxa"/>
            <w:noWrap w:val="0"/>
            <w:vAlign w:val="center"/>
          </w:tcPr>
          <w:p>
            <w:pPr>
              <w:adjustRightInd w:val="0"/>
              <w:snapToGrid w:val="0"/>
              <w:jc w:val="center"/>
              <w:rPr>
                <w:rFonts w:hint="eastAsia" w:ascii="楷体" w:hAnsi="楷体" w:eastAsia="楷体" w:cs="楷体"/>
                <w:b/>
                <w:bCs/>
                <w:color w:val="000000"/>
                <w:kern w:val="0"/>
                <w:sz w:val="24"/>
                <w:lang w:bidi="ar"/>
              </w:rPr>
            </w:pPr>
            <w:r>
              <w:rPr>
                <w:rFonts w:hint="eastAsia" w:ascii="楷体" w:hAnsi="楷体" w:eastAsia="楷体" w:cs="楷体"/>
                <w:b/>
                <w:bCs/>
                <w:color w:val="000000"/>
                <w:kern w:val="0"/>
                <w:sz w:val="24"/>
                <w:lang w:bidi="ar"/>
              </w:rPr>
              <w:t>行动分类</w:t>
            </w:r>
          </w:p>
        </w:tc>
        <w:tc>
          <w:tcPr>
            <w:tcW w:w="1729" w:type="dxa"/>
            <w:noWrap w:val="0"/>
            <w:vAlign w:val="center"/>
          </w:tcPr>
          <w:p>
            <w:pPr>
              <w:adjustRightInd w:val="0"/>
              <w:snapToGrid w:val="0"/>
              <w:jc w:val="center"/>
              <w:rPr>
                <w:rFonts w:hint="eastAsia" w:ascii="楷体" w:hAnsi="楷体" w:eastAsia="楷体" w:cs="楷体"/>
                <w:b/>
                <w:bCs/>
                <w:color w:val="000000"/>
                <w:kern w:val="0"/>
                <w:sz w:val="24"/>
                <w:lang w:bidi="ar"/>
              </w:rPr>
            </w:pPr>
            <w:r>
              <w:rPr>
                <w:rFonts w:hint="eastAsia" w:ascii="楷体" w:hAnsi="楷体" w:eastAsia="楷体" w:cs="楷体"/>
                <w:b/>
                <w:bCs/>
                <w:color w:val="000000"/>
                <w:kern w:val="0"/>
                <w:sz w:val="24"/>
                <w:lang w:bidi="ar"/>
              </w:rPr>
              <w:t>牵头单位</w:t>
            </w:r>
          </w:p>
        </w:tc>
        <w:tc>
          <w:tcPr>
            <w:tcW w:w="1751" w:type="dxa"/>
            <w:gridSpan w:val="2"/>
            <w:noWrap w:val="0"/>
            <w:vAlign w:val="center"/>
          </w:tcPr>
          <w:p>
            <w:pPr>
              <w:adjustRightInd w:val="0"/>
              <w:snapToGrid w:val="0"/>
              <w:jc w:val="center"/>
              <w:rPr>
                <w:rFonts w:hint="eastAsia" w:ascii="楷体" w:hAnsi="楷体" w:eastAsia="楷体" w:cs="楷体"/>
                <w:b/>
                <w:bCs/>
                <w:color w:val="000000"/>
                <w:kern w:val="0"/>
                <w:sz w:val="24"/>
                <w:lang w:bidi="ar"/>
              </w:rPr>
            </w:pPr>
            <w:r>
              <w:rPr>
                <w:rFonts w:hint="eastAsia" w:ascii="楷体" w:hAnsi="楷体" w:eastAsia="楷体" w:cs="楷体"/>
                <w:b/>
                <w:bCs/>
                <w:color w:val="000000"/>
                <w:kern w:val="0"/>
                <w:sz w:val="24"/>
                <w:lang w:bidi="ar"/>
              </w:rPr>
              <w:t>检查事项</w:t>
            </w:r>
          </w:p>
        </w:tc>
        <w:tc>
          <w:tcPr>
            <w:tcW w:w="7935" w:type="dxa"/>
            <w:gridSpan w:val="3"/>
            <w:noWrap w:val="0"/>
            <w:vAlign w:val="center"/>
          </w:tcPr>
          <w:p>
            <w:pPr>
              <w:adjustRightInd w:val="0"/>
              <w:snapToGrid w:val="0"/>
              <w:jc w:val="center"/>
              <w:rPr>
                <w:rFonts w:hint="eastAsia" w:ascii="楷体" w:hAnsi="楷体" w:eastAsia="楷体" w:cs="楷体"/>
                <w:b/>
                <w:bCs/>
                <w:color w:val="000000"/>
                <w:kern w:val="0"/>
                <w:sz w:val="24"/>
                <w:lang w:bidi="ar"/>
              </w:rPr>
            </w:pPr>
            <w:r>
              <w:rPr>
                <w:rFonts w:hint="eastAsia" w:ascii="楷体" w:hAnsi="楷体" w:eastAsia="楷体" w:cs="楷体"/>
                <w:b/>
                <w:bCs/>
                <w:color w:val="000000"/>
                <w:kern w:val="0"/>
                <w:sz w:val="24"/>
                <w:lang w:bidi="ar"/>
              </w:rPr>
              <w:t>具体排查项目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85" w:type="dxa"/>
            <w:vMerge w:val="restart"/>
            <w:noWrap w:val="0"/>
            <w:vAlign w:val="top"/>
          </w:tcPr>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ascii="楷体_GB2312" w:hAnsi="楷体_GB2312" w:eastAsia="楷体_GB2312" w:cs="楷体_GB2312"/>
                <w:color w:val="000000"/>
                <w:kern w:val="0"/>
                <w:sz w:val="24"/>
                <w:lang w:bidi="ar"/>
              </w:rPr>
            </w:pPr>
          </w:p>
          <w:p>
            <w:pPr>
              <w:adjustRightInd w:val="0"/>
              <w:snapToGrid w:val="0"/>
              <w:jc w:val="left"/>
              <w:rPr>
                <w:rFonts w:hint="eastAsia" w:ascii="楷体_GB2312" w:hAnsi="楷体_GB2312" w:eastAsia="楷体_GB2312" w:cs="楷体_GB2312"/>
                <w:color w:val="000000"/>
                <w:kern w:val="0"/>
                <w:sz w:val="24"/>
                <w:lang w:bidi="ar"/>
              </w:rPr>
            </w:pPr>
            <w:r>
              <w:rPr>
                <w:rFonts w:ascii="楷体_GB2312" w:hAnsi="楷体_GB2312" w:eastAsia="楷体_GB2312" w:cs="楷体_GB2312"/>
                <w:color w:val="000000"/>
                <w:kern w:val="0"/>
                <w:sz w:val="24"/>
                <w:lang w:bidi="ar"/>
              </w:rPr>
              <w:t>2020 年 7 月至 2020 年 12 月底</w:t>
            </w:r>
          </w:p>
        </w:tc>
        <w:tc>
          <w:tcPr>
            <w:tcW w:w="2297" w:type="dxa"/>
            <w:vMerge w:val="restart"/>
            <w:noWrap w:val="0"/>
            <w:vAlign w:val="center"/>
          </w:tcPr>
          <w:p>
            <w:pPr>
              <w:adjustRightInd w:val="0"/>
              <w:snapToGrid w:val="0"/>
              <w:jc w:val="left"/>
              <w:rPr>
                <w:rFonts w:hint="eastAsia" w:ascii="楷体" w:hAnsi="楷体" w:eastAsia="楷体" w:cs="楷体"/>
                <w:color w:val="000000"/>
                <w:kern w:val="0"/>
                <w:sz w:val="30"/>
                <w:szCs w:val="30"/>
                <w:lang w:bidi="ar"/>
              </w:rPr>
            </w:pPr>
            <w:r>
              <w:rPr>
                <w:rFonts w:hint="eastAsia" w:ascii="楷体" w:hAnsi="楷体" w:eastAsia="楷体" w:cs="楷体"/>
                <w:color w:val="000000"/>
                <w:kern w:val="0"/>
                <w:sz w:val="24"/>
                <w:lang w:bidi="ar"/>
              </w:rPr>
              <w:t>学习宣传贯彻习近平总书记关于安全生产重要论述专题</w:t>
            </w: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党委宣传部</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组织开展学习教育活动</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1、是否每年至少安排一次习近平总书记关于安全生产重要论述集中学习；</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2、是否集中组织观看学习“生命重于泰山——学习习近平总书记关于安全生产重要论述”电视专题片。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rPr>
                <w:rFonts w:hint="eastAsia" w:ascii="楷体" w:hAnsi="楷体" w:eastAsia="楷体" w:cs="楷体"/>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党委宣传部</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组织开展事故警示教育</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1、是否组织全体教职员工，至少开展一次集中警示教育；</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2、结合实际制作事故警示教育片，印制警示教育资料，举办警示教育展览。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楷体" w:hAnsi="楷体" w:eastAsia="楷体" w:cs="楷体"/>
                <w:color w:val="000000"/>
                <w:kern w:val="0"/>
                <w:sz w:val="30"/>
                <w:szCs w:val="30"/>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党委办公室</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组织开展对话谈心活动</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是否组织逐级安全对话谈心活动。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restart"/>
            <w:noWrap w:val="0"/>
            <w:vAlign w:val="center"/>
          </w:tcPr>
          <w:p>
            <w:pPr>
              <w:adjustRightInd w:val="0"/>
              <w:snapToGrid w:val="0"/>
              <w:rPr>
                <w:rFonts w:hint="eastAsia" w:ascii="楷体" w:hAnsi="楷体" w:eastAsia="楷体" w:cs="楷体"/>
                <w:color w:val="000000"/>
                <w:kern w:val="0"/>
                <w:sz w:val="30"/>
                <w:szCs w:val="30"/>
                <w:lang w:bidi="ar"/>
              </w:rPr>
            </w:pPr>
            <w:r>
              <w:rPr>
                <w:rFonts w:hint="eastAsia" w:ascii="楷体" w:hAnsi="楷体" w:eastAsia="楷体" w:cs="楷体"/>
                <w:color w:val="000000"/>
                <w:kern w:val="0"/>
                <w:sz w:val="24"/>
                <w:lang w:bidi="ar"/>
              </w:rPr>
              <w:t>全面落实安全责任体系</w:t>
            </w: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院长办公室</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仿宋_GB2312" w:hAnsi="仿宋_GB2312" w:cs="仿宋_GB2312"/>
                <w:color w:val="000000"/>
                <w:kern w:val="0"/>
                <w:sz w:val="24"/>
                <w:lang w:bidi="ar"/>
              </w:rPr>
              <w:t>全面落实安全主体责任</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建立“人人有责、层层负责、各负其责”的全员安全责任体系。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院长办公室</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落实部门监管责任</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建立规范化标准化监管机制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党委办公室</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落实领导责任</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按照“党政同责、一岗双责、齐抓共管、失职追责”的要求，进一步落实各部门党政领导干部安全责任，坚决扛起防范化解重大安全风险的政治责任。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院长办公室</w:t>
            </w:r>
          </w:p>
        </w:tc>
        <w:tc>
          <w:tcPr>
            <w:tcW w:w="1751"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强化督察督办</w:t>
            </w:r>
          </w:p>
        </w:tc>
        <w:tc>
          <w:tcPr>
            <w:tcW w:w="7935"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加强督查检查力度，充分利用通报警示约谈问责等工作方式，强化安全责任落实。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楷体" w:hAnsi="楷体" w:eastAsia="楷体" w:cs="楷体"/>
                <w:color w:val="000000"/>
                <w:kern w:val="0"/>
                <w:sz w:val="24"/>
                <w:lang w:bidi="ar"/>
              </w:rPr>
              <w:t>全面推进安全风险隐患双重预防体系建设</w:t>
            </w:r>
          </w:p>
        </w:tc>
        <w:tc>
          <w:tcPr>
            <w:tcW w:w="1729" w:type="dxa"/>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仿宋_GB2312" w:hAnsi="仿宋_GB2312" w:cs="仿宋_GB2312"/>
                <w:color w:val="000000"/>
                <w:kern w:val="0"/>
                <w:sz w:val="24"/>
                <w:lang w:bidi="ar"/>
              </w:rPr>
              <w:t>党委保卫部</w:t>
            </w:r>
          </w:p>
        </w:tc>
        <w:tc>
          <w:tcPr>
            <w:tcW w:w="9686" w:type="dxa"/>
            <w:gridSpan w:val="5"/>
            <w:noWrap w:val="0"/>
            <w:vAlign w:val="center"/>
          </w:tcPr>
          <w:p>
            <w:pPr>
              <w:numPr>
                <w:ilvl w:val="0"/>
                <w:numId w:val="1"/>
              </w:num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是否按照《河南省安全生产风险管控与隐患治理办法》（省政府令第 191 号）规定的职责要求和省政府提出的双重预防体系建设“五有”标准，在我校全面开展安全风险辨识评估，分类推进实施；</w:t>
            </w:r>
          </w:p>
          <w:p>
            <w:pPr>
              <w:numPr>
                <w:ilvl w:val="0"/>
                <w:numId w:val="1"/>
              </w:num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是否基本建成信息通畅、全员参与、规范有效和可考核、可智控、可追溯的双重预防体系。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restart"/>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楷体" w:hAnsi="楷体" w:eastAsia="楷体" w:cs="楷体"/>
                <w:color w:val="000000"/>
                <w:kern w:val="0"/>
                <w:sz w:val="24"/>
                <w:lang w:bidi="ar"/>
              </w:rPr>
              <w:t>实施安全素质提升工程</w:t>
            </w: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学务部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深入开展安全教育</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1、是否落实安全教育课时、教材、经费、师资；</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2、是否把安全教育纳入教学计划，设置学分，进行系统化安全教育；</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3、有针对性地开展防灾减灾、消防、食品、交通、防溺水、防踩踏、反欺凌、反暴力、反恐怖、扫黑除恶等专题教育；</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4、是否建设一批集场景模拟、新媒体技术、互动体验等形式于一体的学生安全教育体验馆、体验教室。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强化安全教育实践环节</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1、充分利用消防日、安全生产月等契机，开展科普讲座、亲身体验、专题专栏等多种形式的安全教育宣传活动；</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2、是否定时进行安全演练；</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3、是否将消防安全演练纳入军训。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30"/>
                <w:szCs w:val="30"/>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仿宋_GB2312" w:hAnsi="仿宋_GB2312" w:cs="仿宋_GB2312"/>
                <w:color w:val="000000"/>
                <w:kern w:val="0"/>
                <w:sz w:val="24"/>
                <w:lang w:bidi="ar"/>
              </w:rPr>
              <w:t>提升安全教育师资的专业水平</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30"/>
                <w:szCs w:val="30"/>
                <w:lang w:bidi="ar"/>
              </w:rPr>
            </w:pPr>
            <w:r>
              <w:rPr>
                <w:rFonts w:hint="eastAsia" w:ascii="仿宋_GB2312" w:hAnsi="仿宋_GB2312" w:cs="仿宋_GB2312"/>
                <w:color w:val="000000"/>
                <w:kern w:val="0"/>
                <w:sz w:val="24"/>
                <w:lang w:bidi="ar"/>
              </w:rPr>
              <w:t>是否对教职工开展各项安全教育、培训、演练。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楷体" w:hAnsi="楷体" w:eastAsia="楷体" w:cs="楷体"/>
                <w:color w:val="000000"/>
                <w:kern w:val="0"/>
                <w:sz w:val="24"/>
                <w:lang w:bidi="ar"/>
              </w:rPr>
              <w:t>实施提升安全基础支撑保障能力工程</w:t>
            </w: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加强安全防范基础建设</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1、是否实行24小时值班制度；</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2、是否按照要求设立有安全管理机构，配备专兼职保卫人员，并配备必要的防卫性器械、通讯设备，做到机构、人员、职责、经费、场所、装备“六落实”；</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3、是否严格落实门卫值班制度，建立外来人员、车辆登记以及学生接送等安全管理和安全检查制度，严禁未经许可人员进入校园；</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4、严防管制刀具、易燃易爆等危险物品带入校园情况；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5、加大校园重点部位安防系统建设，完善入侵报警装置、视频监控装置、紧急报警装置、电子巡查系统建设情况；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6、是否根据校园及周边治安、交通环境实际情况，在学校周边设置减速带、警示标志等，在学校门口设置隔离栏、升降柱等硬质防冲撞设施。</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7、是否逐步完善围墙等物防设施，实行封闭管理；</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8、学校严格落实门卫值班制度，建立外来人员、车辆登记以及车辆安全管理和安全检查制度，严禁未经许可人员进入校园；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提升安全科技化和信息化水平</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推动学校建设安全物联网监控系统和安全管理平台，积极推广应用温度传感、烟雾报警、视频监控等技术，加强安全监测预警信息化建设，建立健全运用互联网、大数据、人工智能等科技手段进行安全监督管理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基建部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加强学校建筑及设施设备安全管理</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1、是否建立校舍及内部设施定期检查报告、维护维修、改造验收制度。</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2、是否存在使用存在安全隐患校舍现象；</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3、校内老化校舍、陈旧设施维修更新情况。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强化学校应急处置能力建设</w:t>
            </w:r>
          </w:p>
        </w:tc>
        <w:tc>
          <w:tcPr>
            <w:tcW w:w="8620" w:type="dxa"/>
            <w:gridSpan w:val="4"/>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1、是否制定有各项突发事件应急预案；</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2、是否严格落实值班和信息报送制度；</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3、推动与学校周边重点救援力量建立应急联动机制；</w:t>
            </w:r>
          </w:p>
          <w:p>
            <w:pPr>
              <w:adjustRightInd w:val="0"/>
              <w:snapToGrid w:val="0"/>
              <w:jc w:val="left"/>
              <w:rPr>
                <w:rFonts w:ascii="仿宋_GB2312" w:hAnsi="仿宋_GB2312" w:cs="仿宋_GB2312"/>
                <w:color w:val="000000"/>
                <w:kern w:val="0"/>
                <w:sz w:val="30"/>
                <w:szCs w:val="30"/>
                <w:lang w:bidi="ar"/>
              </w:rPr>
            </w:pPr>
            <w:r>
              <w:rPr>
                <w:rFonts w:hint="eastAsia" w:ascii="仿宋_GB2312" w:hAnsi="仿宋_GB2312" w:cs="仿宋_GB2312"/>
                <w:color w:val="000000"/>
                <w:kern w:val="0"/>
                <w:sz w:val="24"/>
                <w:lang w:bidi="ar"/>
              </w:rPr>
              <w:t>4、加强学校应急保障队伍建设及应急物资储备，完善应急管理分级响应制度和程序，定期开展应急演练，提升风险防范能力。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健全各项安全管理制度</w:t>
            </w:r>
          </w:p>
        </w:tc>
        <w:tc>
          <w:tcPr>
            <w:tcW w:w="8620" w:type="dxa"/>
            <w:gridSpan w:val="4"/>
            <w:noWrap w:val="0"/>
            <w:vAlign w:val="top"/>
          </w:tcPr>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1、各要害位置管理部门是否制定完备的安全管理制度；</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2、危险化学品仓库设置是否符合要求，有无安全隐患；是否严格执行国家《危险化学品安全管理条例》；</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3、实验室是否制定完备的安全管理制度；</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4、进出入校园、巡逻、值班是否有完备的安全管理制度。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restart"/>
            <w:noWrap w:val="0"/>
            <w:vAlign w:val="center"/>
          </w:tcPr>
          <w:p>
            <w:pPr>
              <w:adjustRightInd w:val="0"/>
              <w:snapToGrid w:val="0"/>
              <w:jc w:val="left"/>
              <w:rPr>
                <w:rFonts w:hint="eastAsia" w:ascii="楷体" w:hAnsi="楷体" w:eastAsia="楷体" w:cs="楷体"/>
                <w:color w:val="000000"/>
                <w:kern w:val="0"/>
                <w:sz w:val="24"/>
                <w:lang w:bidi="ar"/>
              </w:rPr>
            </w:pPr>
          </w:p>
          <w:p>
            <w:pPr>
              <w:adjustRightInd w:val="0"/>
              <w:snapToGrid w:val="0"/>
              <w:jc w:val="left"/>
              <w:rPr>
                <w:rFonts w:hint="eastAsia" w:ascii="楷体" w:hAnsi="楷体" w:eastAsia="楷体" w:cs="楷体"/>
                <w:color w:val="000000"/>
                <w:kern w:val="0"/>
                <w:sz w:val="24"/>
                <w:lang w:bidi="ar"/>
              </w:rPr>
            </w:pPr>
          </w:p>
          <w:p>
            <w:pPr>
              <w:adjustRightInd w:val="0"/>
              <w:snapToGrid w:val="0"/>
              <w:jc w:val="left"/>
              <w:rPr>
                <w:rFonts w:hint="eastAsia" w:ascii="楷体" w:hAnsi="楷体" w:eastAsia="楷体" w:cs="楷体"/>
                <w:color w:val="000000"/>
                <w:kern w:val="0"/>
                <w:sz w:val="24"/>
                <w:lang w:bidi="ar"/>
              </w:rPr>
            </w:pPr>
          </w:p>
          <w:p>
            <w:pPr>
              <w:adjustRightInd w:val="0"/>
              <w:snapToGrid w:val="0"/>
              <w:jc w:val="left"/>
              <w:rPr>
                <w:rFonts w:hint="eastAsia" w:ascii="楷体" w:hAnsi="楷体" w:eastAsia="楷体" w:cs="楷体"/>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r>
              <w:rPr>
                <w:rFonts w:hint="eastAsia" w:ascii="楷体" w:hAnsi="楷体" w:eastAsia="楷体" w:cs="楷体"/>
                <w:color w:val="000000"/>
                <w:kern w:val="0"/>
                <w:sz w:val="24"/>
                <w:lang w:bidi="ar"/>
              </w:rPr>
              <w:t>加强重点领域安全管理</w:t>
            </w:r>
          </w:p>
        </w:tc>
        <w:tc>
          <w:tcPr>
            <w:tcW w:w="1729"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加强消防安全管理</w:t>
            </w:r>
          </w:p>
        </w:tc>
        <w:tc>
          <w:tcPr>
            <w:tcW w:w="1610"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推行消防安全标注化管理</w:t>
            </w:r>
          </w:p>
        </w:tc>
        <w:tc>
          <w:tcPr>
            <w:tcW w:w="7010" w:type="dxa"/>
            <w:gridSpan w:val="2"/>
            <w:noWrap w:val="0"/>
            <w:vAlign w:val="top"/>
          </w:tcPr>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1、是否制定有完备的消防安全管理规定；</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2、消防救援机构协调联动工作机制是否健全。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vMerge w:val="continue"/>
            <w:noWrap w:val="0"/>
            <w:vAlign w:val="center"/>
          </w:tcPr>
          <w:p>
            <w:pPr>
              <w:adjustRightInd w:val="0"/>
              <w:snapToGrid w:val="0"/>
              <w:jc w:val="left"/>
            </w:pPr>
          </w:p>
        </w:tc>
        <w:tc>
          <w:tcPr>
            <w:tcW w:w="1066" w:type="dxa"/>
            <w:vMerge w:val="continue"/>
            <w:noWrap w:val="0"/>
            <w:vAlign w:val="center"/>
          </w:tcPr>
          <w:p>
            <w:pPr>
              <w:adjustRightInd w:val="0"/>
              <w:snapToGrid w:val="0"/>
              <w:jc w:val="left"/>
            </w:pPr>
          </w:p>
        </w:tc>
        <w:tc>
          <w:tcPr>
            <w:tcW w:w="1610"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加强消防宣传</w:t>
            </w:r>
          </w:p>
        </w:tc>
        <w:tc>
          <w:tcPr>
            <w:tcW w:w="7010" w:type="dxa"/>
            <w:gridSpan w:val="2"/>
            <w:noWrap w:val="0"/>
            <w:vAlign w:val="top"/>
          </w:tcPr>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1、消防安全教育是否纳入通识教育课程体系；</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2、“消防进军训”是否实行；</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3、是否在特定时间节点进行消防知识宣传；</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4、是否定期组织消防演练。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vMerge w:val="continue"/>
            <w:noWrap w:val="0"/>
            <w:vAlign w:val="center"/>
          </w:tcPr>
          <w:p>
            <w:pPr>
              <w:adjustRightInd w:val="0"/>
              <w:snapToGrid w:val="0"/>
              <w:jc w:val="left"/>
            </w:pPr>
          </w:p>
        </w:tc>
        <w:tc>
          <w:tcPr>
            <w:tcW w:w="1066" w:type="dxa"/>
            <w:vMerge w:val="continue"/>
            <w:noWrap w:val="0"/>
            <w:vAlign w:val="center"/>
          </w:tcPr>
          <w:p>
            <w:pPr>
              <w:adjustRightInd w:val="0"/>
              <w:snapToGrid w:val="0"/>
              <w:jc w:val="left"/>
            </w:pPr>
          </w:p>
        </w:tc>
        <w:tc>
          <w:tcPr>
            <w:tcW w:w="1610"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加强人员培训</w:t>
            </w:r>
          </w:p>
        </w:tc>
        <w:tc>
          <w:tcPr>
            <w:tcW w:w="7010" w:type="dxa"/>
            <w:gridSpan w:val="2"/>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1、微型消防站工作人员是否持证上岗；</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2、是否分批次、分类别组织各部门消防安全责任人和管理人开展消防教育培训；</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3、是否建立常态化全员消防培训制度,落实入职必训、定期培训、转岗轮训等要求,全面提升教职员工消防安全意识。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vMerge w:val="continue"/>
            <w:noWrap w:val="0"/>
            <w:vAlign w:val="center"/>
          </w:tcPr>
          <w:p>
            <w:pPr>
              <w:adjustRightInd w:val="0"/>
              <w:snapToGrid w:val="0"/>
              <w:jc w:val="left"/>
            </w:pPr>
          </w:p>
        </w:tc>
        <w:tc>
          <w:tcPr>
            <w:tcW w:w="1066" w:type="dxa"/>
            <w:vMerge w:val="continue"/>
            <w:noWrap w:val="0"/>
            <w:vAlign w:val="center"/>
          </w:tcPr>
          <w:p>
            <w:pPr>
              <w:adjustRightInd w:val="0"/>
              <w:snapToGrid w:val="0"/>
              <w:jc w:val="left"/>
            </w:pPr>
          </w:p>
        </w:tc>
        <w:tc>
          <w:tcPr>
            <w:tcW w:w="1610" w:type="dxa"/>
            <w:gridSpan w:val="2"/>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集中整治消防安全问题</w:t>
            </w:r>
          </w:p>
        </w:tc>
        <w:tc>
          <w:tcPr>
            <w:tcW w:w="7010" w:type="dxa"/>
            <w:gridSpan w:val="2"/>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1、认真组织开展电气火灾综合治理、高层建筑防火综合治理情况；</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2、校内各楼宇、建筑物是否存在电线私拉乱接、电动车楼内充电等安全隐患；</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3、是否按照有关要求，配置消防设施、器材及基本的灭火救援装备，并定期组织检测维修，确保消防设施和器材完好；</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4、消防安全责任制落实、日常防火检查巡查、建筑消防设备设施和安全出口及疏散通道是否符合要求；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后勤服务中心</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加强食堂和食品安全管理</w:t>
            </w:r>
          </w:p>
        </w:tc>
        <w:tc>
          <w:tcPr>
            <w:tcW w:w="8620" w:type="dxa"/>
            <w:gridSpan w:val="4"/>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1、学校食堂是否达到安全标准；</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2、校园内副食品店、超市和餐饮点是否符合食品安全标准；</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3、学校食品安全管理制度是否完善；</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4、食堂食品采购、存储、加工、销售等各环节操作程序是否规范；</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5、加强对学校食堂从业人员的教育与管理情况。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总务部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加强校车交通安全管理</w:t>
            </w:r>
          </w:p>
        </w:tc>
        <w:tc>
          <w:tcPr>
            <w:tcW w:w="8620" w:type="dxa"/>
            <w:gridSpan w:val="4"/>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1、是否定期检查、维修通勤班车；</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2、通勤班车是否配备有完好可用的消防设备；</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3、通勤班车是否配备有应急逃生设备；</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4、是否定期对通勤班车驾驶员开展安全教育；</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5、使用通勤班车是否符合国家相关规定。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教务部</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科研部</w:t>
            </w:r>
          </w:p>
        </w:tc>
        <w:tc>
          <w:tcPr>
            <w:tcW w:w="1066"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加强实验室危险化学品和特种设备安全管理</w:t>
            </w:r>
          </w:p>
        </w:tc>
        <w:tc>
          <w:tcPr>
            <w:tcW w:w="8620" w:type="dxa"/>
            <w:gridSpan w:val="4"/>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1、危险化学品仓库设置是否符合要求，有无安全隐患；是否严格执行国家《危险化学品安全管理条例》，对危险化学品实行专室存放、铁门铁锁、双人双锁，并建立严格的进货、购买、领用、登记等管理规范；</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2、实验设施设备是否安全运行，重点部位自动监控、泄漏检测报警、通风、防火防爆设施设置维护及运行情况；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3、实验后产生的废弃物是否统一收储并依法依规科学处置；</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4、是否制定有实验室安全应急预案；</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5、实验室仪器规格是否符合国家相关规定。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85" w:type="dxa"/>
            <w:vMerge w:val="continue"/>
            <w:noWrap w:val="0"/>
            <w:vAlign w:val="top"/>
          </w:tcPr>
          <w:p>
            <w:pPr>
              <w:adjustRightInd w:val="0"/>
              <w:snapToGrid w:val="0"/>
              <w:jc w:val="left"/>
            </w:pPr>
          </w:p>
        </w:tc>
        <w:tc>
          <w:tcPr>
            <w:tcW w:w="2297" w:type="dxa"/>
            <w:vMerge w:val="continue"/>
            <w:noWrap w:val="0"/>
            <w:vAlign w:val="center"/>
          </w:tcPr>
          <w:p>
            <w:pPr>
              <w:adjustRightInd w:val="0"/>
              <w:snapToGrid w:val="0"/>
              <w:jc w:val="left"/>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总务部</w:t>
            </w:r>
          </w:p>
        </w:tc>
        <w:tc>
          <w:tcPr>
            <w:tcW w:w="1066" w:type="dxa"/>
            <w:vMerge w:val="continue"/>
            <w:noWrap w:val="0"/>
            <w:vAlign w:val="top"/>
          </w:tcPr>
          <w:p>
            <w:pPr>
              <w:adjustRightInd w:val="0"/>
              <w:snapToGrid w:val="0"/>
              <w:jc w:val="left"/>
              <w:rPr>
                <w:rFonts w:hint="eastAsia" w:ascii="仿宋_GB2312" w:hAnsi="仿宋_GB2312" w:cs="仿宋_GB2312"/>
                <w:color w:val="000000"/>
                <w:kern w:val="0"/>
                <w:sz w:val="24"/>
                <w:lang w:bidi="ar"/>
              </w:rPr>
            </w:pPr>
          </w:p>
        </w:tc>
        <w:tc>
          <w:tcPr>
            <w:tcW w:w="8620" w:type="dxa"/>
            <w:gridSpan w:val="4"/>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1、锅炉、电梯、压力容器、管道以及气体钢瓶、高压灭菌锅等特种设备的安全管理是否符合相关规定；</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2、特种设备管理人员是否持证上岗；</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3、特种设备是否定时进行检查保养。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净化校园周边环境</w:t>
            </w:r>
          </w:p>
        </w:tc>
        <w:tc>
          <w:tcPr>
            <w:tcW w:w="8620" w:type="dxa"/>
            <w:gridSpan w:val="4"/>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1、联合有关部门开展整治，治安、交通秩序、出版物市场、住宿场所、食品安全秩序情况；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2、校园周边有无各类非法经营、违章搭建；</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3、机动车、非机动车是否乱停乱放，有无商贩摊点；</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4、校园周边200米安全区建设是否落实“四个禁止”；</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5、校园周边是否存在黑车聚集现象。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学务部</w:t>
            </w:r>
          </w:p>
        </w:tc>
        <w:tc>
          <w:tcPr>
            <w:tcW w:w="1066"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加强其它安全管理</w:t>
            </w:r>
          </w:p>
        </w:tc>
        <w:tc>
          <w:tcPr>
            <w:tcW w:w="1664"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开展预防溺亡专项治理</w:t>
            </w:r>
          </w:p>
        </w:tc>
        <w:tc>
          <w:tcPr>
            <w:tcW w:w="6956" w:type="dxa"/>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1、通过公共安全教育课、校园宣传等形式开展预防溺水安全教育情况；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2、通过短信、微信等方式推送防溺水提醒信息情况。</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3、是否与预防溺亡应急预案。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066"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664"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是否做好学生欺凌防范工作</w:t>
            </w:r>
          </w:p>
        </w:tc>
        <w:tc>
          <w:tcPr>
            <w:tcW w:w="6956" w:type="dxa"/>
            <w:noWrap w:val="0"/>
            <w:vAlign w:val="top"/>
          </w:tcPr>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1、通过公共安全教育课、校园宣传等形式开展预防校园欺凌教育情况；</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2、通过短信、微信等方式推送预防校园欺凌现象情况。</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3、是否具有完备的学生欺凌排查、防范和处置预案。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vMerge w:val="restart"/>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党委保卫部</w:t>
            </w:r>
          </w:p>
        </w:tc>
        <w:tc>
          <w:tcPr>
            <w:tcW w:w="1066"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664"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加强防灾减灾工作</w:t>
            </w:r>
          </w:p>
        </w:tc>
        <w:tc>
          <w:tcPr>
            <w:tcW w:w="6956" w:type="dxa"/>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1、校舍、围墙、体育等教学教育设施是否定期排查，确保安全；</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2、洪灾、泥石流、雷电等重大自然灾害应对措施，开展防灾减灾知识和技能教育情况。</w:t>
            </w:r>
          </w:p>
          <w:p>
            <w:pPr>
              <w:adjustRightInd w:val="0"/>
              <w:snapToGrid w:val="0"/>
              <w:jc w:val="left"/>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3、应急物资是否完备、期限使用型应急物资是否及时补充。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066"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664"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深入开展扫黑除恶专项斗争</w:t>
            </w:r>
          </w:p>
        </w:tc>
        <w:tc>
          <w:tcPr>
            <w:tcW w:w="6956" w:type="dxa"/>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1、校内是否有非法学生组织；</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2、扫黑除恶专项工作开展情况。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noWrap w:val="0"/>
            <w:vAlign w:val="top"/>
          </w:tcPr>
          <w:p>
            <w:pPr>
              <w:adjustRightInd w:val="0"/>
              <w:snapToGrid w:val="0"/>
              <w:jc w:val="left"/>
              <w:rPr>
                <w:rFonts w:hint="eastAsia" w:ascii="仿宋_GB2312" w:hAnsi="仿宋_GB2312" w:cs="仿宋_GB2312"/>
                <w:color w:val="000000"/>
                <w:kern w:val="0"/>
                <w:sz w:val="30"/>
                <w:szCs w:val="30"/>
                <w:lang w:bidi="ar"/>
              </w:rPr>
            </w:pPr>
          </w:p>
        </w:tc>
        <w:tc>
          <w:tcPr>
            <w:tcW w:w="2297"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729"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066" w:type="dxa"/>
            <w:vMerge w:val="continue"/>
            <w:noWrap w:val="0"/>
            <w:vAlign w:val="center"/>
          </w:tcPr>
          <w:p>
            <w:pPr>
              <w:adjustRightInd w:val="0"/>
              <w:snapToGrid w:val="0"/>
              <w:jc w:val="left"/>
              <w:rPr>
                <w:rFonts w:hint="eastAsia" w:ascii="仿宋_GB2312" w:hAnsi="仿宋_GB2312" w:cs="仿宋_GB2312"/>
                <w:color w:val="000000"/>
                <w:kern w:val="0"/>
                <w:sz w:val="24"/>
                <w:lang w:bidi="ar"/>
              </w:rPr>
            </w:pPr>
          </w:p>
        </w:tc>
        <w:tc>
          <w:tcPr>
            <w:tcW w:w="1664" w:type="dxa"/>
            <w:gridSpan w:val="3"/>
            <w:noWrap w:val="0"/>
            <w:vAlign w:val="center"/>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做好反恐怖工作</w:t>
            </w:r>
          </w:p>
        </w:tc>
        <w:tc>
          <w:tcPr>
            <w:tcW w:w="6956" w:type="dxa"/>
            <w:noWrap w:val="0"/>
            <w:vAlign w:val="top"/>
          </w:tcPr>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1、认真开展反恐防渗透工作；</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2、积极排查整治校园周边非法宗教聚会点；</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3、反恐、反间谍、防宗教渗透安全教育工作；</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4、在校师生教职工少数民族情况、宗教信仰情况是否收集完善；</w:t>
            </w:r>
          </w:p>
          <w:p>
            <w:pPr>
              <w:adjustRightInd w:val="0"/>
              <w:snapToGrid w:val="0"/>
              <w:jc w:val="left"/>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5、是否定期开展反恐、反间谍、方宗教渗透宣传教育。</w:t>
            </w:r>
          </w:p>
          <w:p>
            <w:pPr>
              <w:adjustRightInd w:val="0"/>
              <w:snapToGrid w:val="0"/>
              <w:jc w:val="left"/>
              <w:rPr>
                <w:rFonts w:hint="eastAsia" w:ascii="仿宋_GB2312" w:hAnsi="仿宋_GB2312" w:cs="仿宋_GB2312"/>
                <w:color w:val="000000"/>
                <w:kern w:val="0"/>
                <w:sz w:val="24"/>
                <w:lang w:bidi="ar"/>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058F9"/>
    <w:multiLevelType w:val="singleLevel"/>
    <w:tmpl w:val="CED058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F6F92"/>
    <w:rsid w:val="2F1F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2020-12-10T06:21:00Z</dcterms:created>
  <dc:creator>潘磊</dc:creator>
  <cp:lastModifiedBy>潘磊</cp:lastModifiedBy>
  <dcterms:modified xsi:type="dcterms:W3CDTF">2020-12-10T06:22:35Z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